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安康学院2021年博士研究生招聘启事（第二批）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安康学院是陕西省省属全日制普通本科院校，位于陕西省东南部的安康市，居秦巴之间，汉水之滨，与鄂、渝、川三省市相毗邻，处关中、成渝、江汉三大经济区的几何中心，依山傍水，气候宜人，资源丰富，秦、楚、巴、蜀多元文化样态在此交融生辉，是中国十大宜居城市、西北唯一的康养城市。交通便捷，多条航线、动车、高速在此交汇，是宜居宜学的理想之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安康学院现有江南、江北2个校区，占地面积近1000亩，现有13个二级学院，开设41个本科专业，涵盖法学、教育学、文学、理学、工学、农学、管理学、艺术学、经济学、医学等十个门类，现有全日制本科学生12000余人。根据事业发展需要，学校决定遵照国家有关事业单位招聘人员的规定，公开、公平、公正面向国内外招聘博士研究生若干名，有关招聘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75486"/>
          <w:spacing w:val="0"/>
          <w:sz w:val="27"/>
          <w:szCs w:val="27"/>
          <w:bdr w:val="none" w:color="auto" w:sz="0" w:space="0"/>
          <w:shd w:val="clear" w:fill="FFFFFF"/>
        </w:rPr>
        <w:t>一、招聘计划</w:t>
      </w:r>
    </w:p>
    <w:tbl>
      <w:tblPr>
        <w:tblStyle w:val="5"/>
        <w:tblpPr w:leftFromText="180" w:rightFromText="180" w:vertAnchor="text" w:horzAnchor="page" w:tblpX="1221" w:tblpY="891"/>
        <w:tblOverlap w:val="never"/>
        <w:tblW w:w="5725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31"/>
        <w:gridCol w:w="1392"/>
        <w:gridCol w:w="3270"/>
        <w:gridCol w:w="1110"/>
        <w:gridCol w:w="318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04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二级学院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学科专业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计划人数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数统学院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数学、统计学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71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电信学院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计算机、软件工程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通信、电子类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物联网工程、自动化类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数字媒体技术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电子商务、跨境电商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物理学类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3</w:t>
            </w:r>
          </w:p>
        </w:tc>
        <w:tc>
          <w:tcPr>
            <w:tcW w:w="71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化工学院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化工类（精细化工方向、化妆品方向）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分析化学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文传学院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文学、新闻学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5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马克思主义学院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马克思主义理论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6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外语学院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英语、商务英语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7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体育学院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体育类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8</w:t>
            </w:r>
          </w:p>
        </w:tc>
        <w:tc>
          <w:tcPr>
            <w:tcW w:w="71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艺术学院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美术学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设计学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音乐学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9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教育学院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小学教育、学前教育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6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10</w:t>
            </w:r>
          </w:p>
        </w:tc>
        <w:tc>
          <w:tcPr>
            <w:tcW w:w="71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经管学院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企业管理、财务管理、行政管理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会计学、审计学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岩土工程、建筑工程管理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金融学、农村金融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土木工程建造与管理、建筑学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经济学、农业经济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环境资源、法律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11</w:t>
            </w:r>
          </w:p>
        </w:tc>
        <w:tc>
          <w:tcPr>
            <w:tcW w:w="71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农生学院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食品科学与工程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本科、硕士均为食品专业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园林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本科为园林专业或风景园林专业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动物科学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本科、硕士均为动物科学专业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茶学、农学、生物学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本科为茶学专业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12</w:t>
            </w:r>
          </w:p>
        </w:tc>
        <w:tc>
          <w:tcPr>
            <w:tcW w:w="71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旅环学院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地理信息系统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环境生态工程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工商管理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77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人文地理学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7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13</w:t>
            </w:r>
          </w:p>
        </w:tc>
        <w:tc>
          <w:tcPr>
            <w:tcW w:w="71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医学院</w:t>
            </w:r>
          </w:p>
        </w:tc>
        <w:tc>
          <w:tcPr>
            <w:tcW w:w="168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药理学、内科学、康复医学与理疗学</w:t>
            </w:r>
          </w:p>
        </w:tc>
        <w:tc>
          <w:tcPr>
            <w:tcW w:w="57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164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75486"/>
          <w:spacing w:val="0"/>
          <w:sz w:val="27"/>
          <w:szCs w:val="27"/>
          <w:bdr w:val="none" w:color="auto" w:sz="0" w:space="0"/>
          <w:shd w:val="clear" w:fill="FFFFFF"/>
        </w:rPr>
        <w:t>二、招聘基本条件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聘人员应遵守宪法和法律，具有良好的品行和职业道德，适应岗位要求的身体条件，符合我校学科专业建设和应用型人才培养需要，年龄在40周岁以下（特别优秀者可放宽至45周岁），有较高质量研究成果产出、发展潜力大。具有博士后研究经历或具有副教授及以上职称者优先引进，待遇从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75486"/>
          <w:spacing w:val="0"/>
          <w:sz w:val="27"/>
          <w:szCs w:val="27"/>
          <w:bdr w:val="none" w:color="auto" w:sz="0" w:space="0"/>
          <w:shd w:val="clear" w:fill="FFFFFF"/>
        </w:rPr>
        <w:t>三、引进待遇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1、安家费：按照安康学院招聘博士分类标准，25-100万元；在每一类确定的安家费标准基础上，能力与素质突出者，可以采用"一人一策、一事一议"适当增加；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2、科研启动费：按照安康学院招聘博士分类标准，自然科学类20万元以内，人文社会科学类15万元以内；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3、职称待遇：按照安康学院招聘博士分类标准，分为申请特聘教授、申请特聘副教授、3年内按照副教授待遇计发基本工资和绩效工资三类；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4、博士津贴：1000元/月；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5、办公设施：安排博士办公室，配备电脑一台；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6、住房补贴：800元/月,每年发放一次，共计8年；预留建筑面积为137平方米校内住房，供教师成本价购买；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7、编制管理：纳入省级事业单位编制管理；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配偶安置：配偶如愿意来学校工作，符合岗位相关要求均可以安置。符合陕西省关于引进高层次人才配偶调动（录用）条件的，学校可以办理正式调动（录用）手续；不符合调入（录用）条件者，可在校内安排工作，办理有关社会保险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9、其他服务：协助解决子女入学入托问题。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75486"/>
          <w:spacing w:val="0"/>
          <w:sz w:val="27"/>
          <w:szCs w:val="27"/>
          <w:bdr w:val="none" w:color="auto" w:sz="0" w:space="0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聘者请填写《安康学院2021年博士研究生招聘报名表》，连同个人简历等相关材料，发送至联系人邮箱。邮件主题格式为"安康学院+二级学院名称+应聘专业+所学毕业学校+姓名"，例：安康学院+数统学院+统计学+西安交通大学+李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联系人：李老师（联系电话：13503077519）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电子邮箱：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"mailto:akueduhr@163.com"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t>akueduhr@163.com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或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"mailto:ltzp@aku.edu.cn"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t>ltzp@aku.edu.cn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报名截止日期：2021年4月30日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18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面试安排：学校已启动面试程序，有意向的应聘者请尽快投递个人应聘资料！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6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3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2021-03-10T06:36:05Z</dcterms:created>
  <dc:creator>Administrator</dc:creator>
  <cp:lastModifiedBy>Kop</cp:lastModifiedBy>
  <dcterms:modified xsi:type="dcterms:W3CDTF">2021-03-10T06:46:06Z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D12D4FDE98484C60B7C536567312B215</vt:lpwstr>
  </property>
</Properties>
</file>